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963" w:rsidRPr="007148E3" w:rsidRDefault="006404E9" w:rsidP="006404E9">
      <w:pPr>
        <w:jc w:val="center"/>
        <w:rPr>
          <w:b/>
          <w:sz w:val="28"/>
        </w:rPr>
      </w:pPr>
      <w:r w:rsidRPr="007148E3">
        <w:rPr>
          <w:b/>
          <w:sz w:val="28"/>
        </w:rPr>
        <w:t>Murder Mystery</w:t>
      </w:r>
      <w:r w:rsidR="002374EA">
        <w:rPr>
          <w:b/>
          <w:sz w:val="28"/>
        </w:rPr>
        <w:t xml:space="preserve"> – 5.4(b) Negative Communication</w:t>
      </w:r>
      <w:r w:rsidRPr="007148E3">
        <w:rPr>
          <w:b/>
          <w:sz w:val="28"/>
        </w:rPr>
        <w:t xml:space="preserve"> </w:t>
      </w:r>
    </w:p>
    <w:p w:rsidR="007148E3" w:rsidRDefault="007148E3" w:rsidP="00752A88">
      <w:pPr>
        <w:framePr w:hSpace="180" w:wrap="around" w:vAnchor="page" w:hAnchor="margin" w:y="1535"/>
        <w:rPr>
          <w:rFonts w:eastAsia="Times New Roman" w:cs="Times New Roman"/>
          <w:b/>
          <w:sz w:val="24"/>
        </w:rPr>
      </w:pPr>
    </w:p>
    <w:p w:rsidR="007148E3" w:rsidRDefault="00752A88" w:rsidP="00752A88">
      <w:pPr>
        <w:rPr>
          <w:rFonts w:eastAsia="Times New Roman" w:cs="Times New Roman"/>
          <w:sz w:val="24"/>
        </w:rPr>
      </w:pPr>
      <w:r w:rsidRPr="007148E3">
        <w:rPr>
          <w:rFonts w:eastAsia="Times New Roman" w:cs="Times New Roman"/>
          <w:b/>
          <w:sz w:val="24"/>
        </w:rPr>
        <w:t>Purpose</w:t>
      </w:r>
      <w:r>
        <w:rPr>
          <w:rFonts w:eastAsia="Times New Roman" w:cs="Times New Roman"/>
          <w:sz w:val="24"/>
        </w:rPr>
        <w:t xml:space="preserve">: </w:t>
      </w:r>
    </w:p>
    <w:p w:rsidR="007148E3" w:rsidRDefault="004C63B6" w:rsidP="007148E3">
      <w:pPr>
        <w:pStyle w:val="ListParagraph"/>
        <w:numPr>
          <w:ilvl w:val="0"/>
          <w:numId w:val="3"/>
        </w:numPr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This activity gets students collaborating and sharing inform</w:t>
      </w:r>
      <w:r w:rsidR="002374EA">
        <w:rPr>
          <w:rFonts w:eastAsia="Times New Roman" w:cs="Times New Roman"/>
          <w:sz w:val="24"/>
        </w:rPr>
        <w:t xml:space="preserve">ation to try to solve a puzzle: how negative communication patterns can affect a marriage. </w:t>
      </w:r>
    </w:p>
    <w:p w:rsidR="004C63B6" w:rsidRPr="007148E3" w:rsidRDefault="004C63B6" w:rsidP="007148E3">
      <w:pPr>
        <w:pStyle w:val="ListParagraph"/>
        <w:numPr>
          <w:ilvl w:val="0"/>
          <w:numId w:val="3"/>
        </w:numPr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It is beneficial for quiet students who often don’t contribute to discussions.</w:t>
      </w:r>
    </w:p>
    <w:p w:rsidR="007148E3" w:rsidRDefault="007148E3" w:rsidP="007148E3">
      <w:pPr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Details</w:t>
      </w:r>
    </w:p>
    <w:p w:rsidR="007148E3" w:rsidRDefault="004C63B6" w:rsidP="007148E3">
      <w:pPr>
        <w:pStyle w:val="ListParagraph"/>
        <w:numPr>
          <w:ilvl w:val="0"/>
          <w:numId w:val="3"/>
        </w:numPr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Key informa</w:t>
      </w:r>
      <w:r w:rsidR="002374EA">
        <w:rPr>
          <w:rFonts w:eastAsia="Times New Roman" w:cs="Times New Roman"/>
          <w:sz w:val="24"/>
        </w:rPr>
        <w:t>tion is put on individual cards (see next page)</w:t>
      </w:r>
    </w:p>
    <w:p w:rsidR="004C63B6" w:rsidRDefault="004C63B6" w:rsidP="007148E3">
      <w:pPr>
        <w:pStyle w:val="ListParagraph"/>
        <w:numPr>
          <w:ilvl w:val="0"/>
          <w:numId w:val="3"/>
        </w:numPr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These are given to small groups (of about 3 students). </w:t>
      </w:r>
    </w:p>
    <w:p w:rsidR="004C63B6" w:rsidRDefault="004C63B6" w:rsidP="007148E3">
      <w:pPr>
        <w:pStyle w:val="ListParagraph"/>
        <w:numPr>
          <w:ilvl w:val="0"/>
          <w:numId w:val="3"/>
        </w:numPr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All members of the grou</w:t>
      </w:r>
      <w:r w:rsidR="002374EA">
        <w:rPr>
          <w:rFonts w:eastAsia="Times New Roman" w:cs="Times New Roman"/>
          <w:sz w:val="24"/>
        </w:rPr>
        <w:t xml:space="preserve">p have the same amount of cards (18 </w:t>
      </w:r>
      <w:proofErr w:type="spellStart"/>
      <w:r w:rsidR="002374EA">
        <w:rPr>
          <w:rFonts w:eastAsia="Times New Roman" w:cs="Times New Roman"/>
          <w:sz w:val="24"/>
        </w:rPr>
        <w:t>cards</w:t>
      </w:r>
      <w:proofErr w:type="spellEnd"/>
      <w:r w:rsidR="002374EA">
        <w:rPr>
          <w:rFonts w:eastAsia="Times New Roman" w:cs="Times New Roman"/>
          <w:sz w:val="24"/>
        </w:rPr>
        <w:t xml:space="preserve"> in total, so 6 each if working in groups of three).</w:t>
      </w:r>
    </w:p>
    <w:p w:rsidR="004C63B6" w:rsidRDefault="004C63B6" w:rsidP="007148E3">
      <w:pPr>
        <w:pStyle w:val="ListParagraph"/>
        <w:numPr>
          <w:ilvl w:val="0"/>
          <w:numId w:val="3"/>
        </w:numPr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They’re not allowed to read from others’ cards, only their own – they have to listen to everyone’s contributions to solve the puzzle.</w:t>
      </w:r>
    </w:p>
    <w:p w:rsidR="004C63B6" w:rsidRDefault="002374EA" w:rsidP="007148E3">
      <w:pPr>
        <w:pStyle w:val="ListParagraph"/>
        <w:numPr>
          <w:ilvl w:val="0"/>
          <w:numId w:val="3"/>
        </w:numPr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It </w:t>
      </w:r>
      <w:r w:rsidR="004C63B6">
        <w:rPr>
          <w:rFonts w:eastAsia="Times New Roman" w:cs="Times New Roman"/>
          <w:sz w:val="24"/>
        </w:rPr>
        <w:t>can be competitive if you want – just tell them the first team who finishes wins a prize.</w:t>
      </w:r>
    </w:p>
    <w:p w:rsidR="007148E3" w:rsidRDefault="00752A88" w:rsidP="00752A88">
      <w:pPr>
        <w:rPr>
          <w:rFonts w:eastAsia="Times New Roman" w:cs="Times New Roman"/>
          <w:sz w:val="24"/>
        </w:rPr>
      </w:pPr>
      <w:r w:rsidRPr="007148E3">
        <w:rPr>
          <w:rFonts w:eastAsia="Times New Roman" w:cs="Times New Roman"/>
          <w:b/>
          <w:sz w:val="24"/>
        </w:rPr>
        <w:t>Possible An</w:t>
      </w:r>
      <w:r w:rsidR="007148E3">
        <w:rPr>
          <w:rFonts w:eastAsia="Times New Roman" w:cs="Times New Roman"/>
          <w:b/>
          <w:sz w:val="24"/>
        </w:rPr>
        <w:t>swer/s</w:t>
      </w:r>
      <w:r>
        <w:rPr>
          <w:rFonts w:eastAsia="Times New Roman" w:cs="Times New Roman"/>
          <w:sz w:val="24"/>
        </w:rPr>
        <w:t xml:space="preserve">: </w:t>
      </w:r>
    </w:p>
    <w:p w:rsidR="00752A88" w:rsidRDefault="002374EA" w:rsidP="00752A88">
      <w:pPr>
        <w:rPr>
          <w:rFonts w:eastAsia="Times New Roman" w:cs="Times New Roman"/>
          <w:i/>
          <w:sz w:val="24"/>
        </w:rPr>
      </w:pPr>
      <w:r w:rsidRPr="002374EA">
        <w:rPr>
          <w:rFonts w:eastAsia="Times New Roman" w:cs="Times New Roman"/>
          <w:i/>
          <w:sz w:val="24"/>
        </w:rPr>
        <w:t>Stonewalling/withdrawing from an argument means that the issue is never resolved. The demander (usually the wife) still feels unsatisfied that the issue hasn’t been dealt with.</w:t>
      </w:r>
      <w:r>
        <w:rPr>
          <w:rFonts w:eastAsia="Times New Roman" w:cs="Times New Roman"/>
          <w:i/>
          <w:sz w:val="24"/>
        </w:rPr>
        <w:t xml:space="preserve"> This could lead to even more “demanding” which will result in more stonewalling from the other partner, so the situation gets worse and not better.</w:t>
      </w:r>
      <w:r w:rsidRPr="002374EA">
        <w:rPr>
          <w:rFonts w:eastAsia="Times New Roman" w:cs="Times New Roman"/>
          <w:i/>
          <w:sz w:val="24"/>
        </w:rPr>
        <w:t xml:space="preserve"> If this pattern continues over a long period of time, it’s likely that marital satisfaction will decrease</w:t>
      </w:r>
      <w:r>
        <w:rPr>
          <w:rFonts w:eastAsia="Times New Roman" w:cs="Times New Roman"/>
          <w:i/>
          <w:sz w:val="24"/>
        </w:rPr>
        <w:t>.</w:t>
      </w:r>
    </w:p>
    <w:p w:rsidR="002374EA" w:rsidRPr="002374EA" w:rsidRDefault="002374EA" w:rsidP="00752A88">
      <w:pPr>
        <w:rPr>
          <w:rFonts w:eastAsia="Times New Roman" w:cs="Times New Roman"/>
          <w:i/>
          <w:sz w:val="24"/>
        </w:rPr>
      </w:pPr>
      <w:r>
        <w:rPr>
          <w:rFonts w:eastAsia="Times New Roman" w:cs="Times New Roman"/>
          <w:i/>
          <w:sz w:val="24"/>
        </w:rPr>
        <w:t>It can also increase the negative: positive communication ratio, which will increase the likelihood of the couple divorcing.</w:t>
      </w:r>
    </w:p>
    <w:p w:rsidR="00752A88" w:rsidRDefault="00752A88" w:rsidP="00752A88">
      <w:pPr>
        <w:rPr>
          <w:rFonts w:eastAsia="Times New Roman" w:cs="Times New Roman"/>
          <w:sz w:val="24"/>
        </w:rPr>
      </w:pPr>
    </w:p>
    <w:p w:rsidR="00752A88" w:rsidRDefault="001B5452" w:rsidP="00752A88">
      <w:pPr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More info on this blog post </w:t>
      </w:r>
    </w:p>
    <w:p w:rsidR="001B5452" w:rsidRDefault="001B5452" w:rsidP="00752A88">
      <w:pPr>
        <w:rPr>
          <w:rFonts w:eastAsia="Times New Roman" w:cs="Times New Roman"/>
          <w:sz w:val="24"/>
        </w:rPr>
      </w:pPr>
      <w:hyperlink r:id="rId7" w:history="1">
        <w:r w:rsidRPr="0049477D">
          <w:rPr>
            <w:rStyle w:val="Hyperlink"/>
            <w:rFonts w:eastAsia="Times New Roman" w:cs="Times New Roman"/>
            <w:sz w:val="24"/>
          </w:rPr>
          <w:t>https://ibpsych.themantic-education.com/2017/08/28/lesson-idea-murder-mystery-who-killed-the-marriage/</w:t>
        </w:r>
      </w:hyperlink>
    </w:p>
    <w:p w:rsidR="001B5452" w:rsidRDefault="001B5452" w:rsidP="00752A88">
      <w:pPr>
        <w:rPr>
          <w:rFonts w:eastAsia="Times New Roman" w:cs="Times New Roman"/>
          <w:sz w:val="24"/>
        </w:rPr>
      </w:pPr>
    </w:p>
    <w:p w:rsidR="00752A88" w:rsidRDefault="00752A88" w:rsidP="00752A88">
      <w:pPr>
        <w:rPr>
          <w:rFonts w:eastAsia="Times New Roman" w:cs="Times New Roman"/>
          <w:sz w:val="24"/>
        </w:rPr>
      </w:pPr>
    </w:p>
    <w:p w:rsidR="00752A88" w:rsidRDefault="00752A88" w:rsidP="00752A88">
      <w:pPr>
        <w:rPr>
          <w:rFonts w:eastAsia="Times New Roman" w:cs="Times New Roman"/>
          <w:sz w:val="24"/>
        </w:rPr>
      </w:pPr>
    </w:p>
    <w:p w:rsidR="00752A88" w:rsidRDefault="00752A88" w:rsidP="00752A88">
      <w:pPr>
        <w:rPr>
          <w:rFonts w:eastAsia="Times New Roman" w:cs="Times New Roman"/>
          <w:sz w:val="24"/>
        </w:rPr>
      </w:pPr>
    </w:p>
    <w:p w:rsidR="004C63B6" w:rsidRDefault="004C63B6" w:rsidP="00752A88">
      <w:pPr>
        <w:rPr>
          <w:rFonts w:eastAsia="Times New Roman" w:cs="Times New Roman"/>
          <w:sz w:val="24"/>
        </w:rPr>
      </w:pPr>
    </w:p>
    <w:p w:rsidR="004C63B6" w:rsidRDefault="004C63B6" w:rsidP="00752A88">
      <w:pPr>
        <w:rPr>
          <w:rFonts w:eastAsia="Times New Roman" w:cs="Times New Roman"/>
          <w:sz w:val="24"/>
        </w:rPr>
      </w:pPr>
    </w:p>
    <w:p w:rsidR="004C63B6" w:rsidRDefault="004C63B6" w:rsidP="00752A88">
      <w:pPr>
        <w:rPr>
          <w:rFonts w:eastAsia="Times New Roman" w:cs="Times New Roman"/>
          <w:sz w:val="24"/>
        </w:rPr>
      </w:pPr>
      <w:bookmarkStart w:id="0" w:name="_GoBack"/>
      <w:bookmarkEnd w:id="0"/>
    </w:p>
    <w:p w:rsidR="00752A88" w:rsidRPr="00C35541" w:rsidRDefault="00070195" w:rsidP="00752A88">
      <w:pPr>
        <w:rPr>
          <w:sz w:val="28"/>
        </w:rPr>
      </w:pPr>
      <w:r>
        <w:rPr>
          <w:i/>
          <w:sz w:val="28"/>
        </w:rPr>
        <w:lastRenderedPageBreak/>
        <w:t>One group gets one set of cards (you’ll need to cut these out).</w:t>
      </w:r>
    </w:p>
    <w:tbl>
      <w:tblPr>
        <w:tblStyle w:val="TableGrid"/>
        <w:tblW w:w="11160" w:type="dxa"/>
        <w:tblInd w:w="-108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720"/>
        <w:gridCol w:w="3720"/>
        <w:gridCol w:w="3720"/>
      </w:tblGrid>
      <w:tr w:rsidR="002374EA" w:rsidRPr="002374EA" w:rsidTr="002374EA">
        <w:trPr>
          <w:cantSplit/>
          <w:trHeight w:val="1728"/>
        </w:trPr>
        <w:tc>
          <w:tcPr>
            <w:tcW w:w="3720" w:type="dxa"/>
            <w:vAlign w:val="center"/>
          </w:tcPr>
          <w:p w:rsidR="002374EA" w:rsidRPr="002374EA" w:rsidRDefault="002374EA" w:rsidP="002374EA">
            <w:pPr>
              <w:jc w:val="center"/>
              <w:rPr>
                <w:sz w:val="30"/>
                <w:szCs w:val="30"/>
              </w:rPr>
            </w:pPr>
            <w:r w:rsidRPr="002374EA">
              <w:rPr>
                <w:sz w:val="30"/>
                <w:szCs w:val="30"/>
              </w:rPr>
              <w:t>The term “marriage dissolution” refers to separation or divorce.</w:t>
            </w:r>
          </w:p>
        </w:tc>
        <w:tc>
          <w:tcPr>
            <w:tcW w:w="3720" w:type="dxa"/>
            <w:vAlign w:val="center"/>
          </w:tcPr>
          <w:p w:rsidR="002374EA" w:rsidRPr="002374EA" w:rsidRDefault="002374EA" w:rsidP="002374EA">
            <w:pPr>
              <w:jc w:val="center"/>
              <w:rPr>
                <w:sz w:val="30"/>
                <w:szCs w:val="30"/>
              </w:rPr>
            </w:pPr>
            <w:r w:rsidRPr="002374EA">
              <w:rPr>
                <w:sz w:val="30"/>
                <w:szCs w:val="30"/>
              </w:rPr>
              <w:t>Gottman claims he can predict divorce with over 90% accuracy.</w:t>
            </w:r>
          </w:p>
        </w:tc>
        <w:tc>
          <w:tcPr>
            <w:tcW w:w="3720" w:type="dxa"/>
            <w:vAlign w:val="center"/>
          </w:tcPr>
          <w:p w:rsidR="002374EA" w:rsidRPr="002374EA" w:rsidRDefault="002374EA" w:rsidP="002374EA">
            <w:pPr>
              <w:jc w:val="center"/>
              <w:rPr>
                <w:sz w:val="30"/>
                <w:szCs w:val="30"/>
              </w:rPr>
            </w:pPr>
            <w:r w:rsidRPr="002374EA">
              <w:rPr>
                <w:sz w:val="30"/>
                <w:szCs w:val="30"/>
              </w:rPr>
              <w:t>Stonewalling means an issue is never resolved, so the “demanding” partner is unsatisfied and may continue to want to address the issue.</w:t>
            </w:r>
          </w:p>
        </w:tc>
      </w:tr>
      <w:tr w:rsidR="002374EA" w:rsidRPr="002374EA" w:rsidTr="002374EA">
        <w:trPr>
          <w:cantSplit/>
          <w:trHeight w:val="1728"/>
        </w:trPr>
        <w:tc>
          <w:tcPr>
            <w:tcW w:w="3720" w:type="dxa"/>
            <w:vAlign w:val="center"/>
          </w:tcPr>
          <w:p w:rsidR="002374EA" w:rsidRPr="002374EA" w:rsidRDefault="002374EA" w:rsidP="002374EA">
            <w:pPr>
              <w:jc w:val="center"/>
              <w:rPr>
                <w:sz w:val="30"/>
                <w:szCs w:val="30"/>
              </w:rPr>
            </w:pPr>
            <w:r w:rsidRPr="002374EA">
              <w:rPr>
                <w:sz w:val="30"/>
                <w:szCs w:val="30"/>
              </w:rPr>
              <w:t>Gottman claims he can predict divorce within five minutes of an observation of a couple by observing their communication patterns.</w:t>
            </w:r>
          </w:p>
        </w:tc>
        <w:tc>
          <w:tcPr>
            <w:tcW w:w="3720" w:type="dxa"/>
            <w:vAlign w:val="center"/>
          </w:tcPr>
          <w:p w:rsidR="002374EA" w:rsidRPr="002374EA" w:rsidRDefault="002374EA" w:rsidP="002374EA">
            <w:pPr>
              <w:jc w:val="center"/>
              <w:rPr>
                <w:sz w:val="30"/>
                <w:szCs w:val="30"/>
              </w:rPr>
            </w:pPr>
            <w:r w:rsidRPr="002374EA">
              <w:rPr>
                <w:sz w:val="30"/>
                <w:szCs w:val="30"/>
              </w:rPr>
              <w:t>The demand/withdraw communication pattern is also called the “wife demand/husband withdraw.”</w:t>
            </w:r>
          </w:p>
        </w:tc>
        <w:tc>
          <w:tcPr>
            <w:tcW w:w="3720" w:type="dxa"/>
            <w:vAlign w:val="center"/>
          </w:tcPr>
          <w:p w:rsidR="002374EA" w:rsidRPr="002374EA" w:rsidRDefault="002374EA" w:rsidP="002374EA">
            <w:pPr>
              <w:jc w:val="center"/>
              <w:rPr>
                <w:sz w:val="30"/>
                <w:szCs w:val="30"/>
              </w:rPr>
            </w:pPr>
            <w:r w:rsidRPr="002374EA">
              <w:rPr>
                <w:sz w:val="30"/>
                <w:szCs w:val="30"/>
              </w:rPr>
              <w:t>Gottman and Krokoff (1989) found a negative correlation between husband withdrawal and marital satisfaction.</w:t>
            </w:r>
          </w:p>
        </w:tc>
      </w:tr>
      <w:tr w:rsidR="002374EA" w:rsidRPr="002374EA" w:rsidTr="002374EA">
        <w:trPr>
          <w:cantSplit/>
          <w:trHeight w:val="1728"/>
        </w:trPr>
        <w:tc>
          <w:tcPr>
            <w:tcW w:w="3720" w:type="dxa"/>
            <w:vAlign w:val="center"/>
          </w:tcPr>
          <w:p w:rsidR="002374EA" w:rsidRPr="002374EA" w:rsidRDefault="002374EA" w:rsidP="002374EA">
            <w:pPr>
              <w:jc w:val="center"/>
              <w:rPr>
                <w:sz w:val="30"/>
                <w:szCs w:val="30"/>
              </w:rPr>
            </w:pPr>
            <w:r w:rsidRPr="002374EA">
              <w:rPr>
                <w:sz w:val="30"/>
                <w:szCs w:val="30"/>
              </w:rPr>
              <w:t>The “demand” is when one partner wants to deal with an issue.</w:t>
            </w:r>
          </w:p>
        </w:tc>
        <w:tc>
          <w:tcPr>
            <w:tcW w:w="3720" w:type="dxa"/>
            <w:vAlign w:val="center"/>
          </w:tcPr>
          <w:p w:rsidR="002374EA" w:rsidRPr="002374EA" w:rsidRDefault="002374EA" w:rsidP="002374EA">
            <w:pPr>
              <w:jc w:val="center"/>
              <w:rPr>
                <w:sz w:val="30"/>
                <w:szCs w:val="30"/>
              </w:rPr>
            </w:pPr>
            <w:r w:rsidRPr="002374EA">
              <w:rPr>
                <w:sz w:val="30"/>
                <w:szCs w:val="30"/>
              </w:rPr>
              <w:t>The “withdraw” is when one partner removes themselves from discussing an issue.</w:t>
            </w:r>
          </w:p>
        </w:tc>
        <w:tc>
          <w:tcPr>
            <w:tcW w:w="3720" w:type="dxa"/>
            <w:vAlign w:val="center"/>
          </w:tcPr>
          <w:p w:rsidR="002374EA" w:rsidRPr="002374EA" w:rsidRDefault="002374EA" w:rsidP="002374EA">
            <w:pPr>
              <w:jc w:val="center"/>
              <w:rPr>
                <w:sz w:val="30"/>
                <w:szCs w:val="30"/>
              </w:rPr>
            </w:pPr>
            <w:r w:rsidRPr="002374EA">
              <w:rPr>
                <w:sz w:val="30"/>
                <w:szCs w:val="30"/>
              </w:rPr>
              <w:t>The demand/withdraw pattern could increase negative to positive ratios of communication.</w:t>
            </w:r>
          </w:p>
        </w:tc>
      </w:tr>
      <w:tr w:rsidR="002374EA" w:rsidRPr="002374EA" w:rsidTr="002374EA">
        <w:trPr>
          <w:cantSplit/>
          <w:trHeight w:val="1728"/>
        </w:trPr>
        <w:tc>
          <w:tcPr>
            <w:tcW w:w="3720" w:type="dxa"/>
            <w:vAlign w:val="center"/>
          </w:tcPr>
          <w:p w:rsidR="002374EA" w:rsidRPr="002374EA" w:rsidRDefault="002374EA" w:rsidP="002374EA">
            <w:pPr>
              <w:jc w:val="center"/>
              <w:rPr>
                <w:sz w:val="30"/>
                <w:szCs w:val="30"/>
              </w:rPr>
            </w:pPr>
            <w:r w:rsidRPr="002374EA">
              <w:rPr>
                <w:sz w:val="30"/>
                <w:szCs w:val="30"/>
              </w:rPr>
              <w:t>“Stonewalling” is what Gottman calls removing oneself from discussing an issue.</w:t>
            </w:r>
          </w:p>
        </w:tc>
        <w:tc>
          <w:tcPr>
            <w:tcW w:w="3720" w:type="dxa"/>
            <w:vAlign w:val="center"/>
          </w:tcPr>
          <w:p w:rsidR="002374EA" w:rsidRPr="002374EA" w:rsidRDefault="002374EA" w:rsidP="002374EA">
            <w:pPr>
              <w:jc w:val="center"/>
              <w:rPr>
                <w:sz w:val="30"/>
                <w:szCs w:val="30"/>
              </w:rPr>
            </w:pPr>
            <w:r w:rsidRPr="002374EA">
              <w:rPr>
                <w:sz w:val="30"/>
                <w:szCs w:val="30"/>
              </w:rPr>
              <w:t>Research shows that the withdraw/demand leads to marital dissatisfaction.</w:t>
            </w:r>
          </w:p>
        </w:tc>
        <w:tc>
          <w:tcPr>
            <w:tcW w:w="3720" w:type="dxa"/>
            <w:vAlign w:val="center"/>
          </w:tcPr>
          <w:p w:rsidR="002374EA" w:rsidRPr="002374EA" w:rsidRDefault="002374EA" w:rsidP="002374EA">
            <w:pPr>
              <w:jc w:val="center"/>
              <w:rPr>
                <w:sz w:val="30"/>
                <w:szCs w:val="30"/>
              </w:rPr>
            </w:pPr>
            <w:r w:rsidRPr="002374EA">
              <w:rPr>
                <w:sz w:val="30"/>
                <w:szCs w:val="30"/>
              </w:rPr>
              <w:t>80% of stonewallers are males (according to Gottman’s research).</w:t>
            </w:r>
          </w:p>
        </w:tc>
      </w:tr>
      <w:tr w:rsidR="002374EA" w:rsidRPr="002374EA" w:rsidTr="002374EA">
        <w:trPr>
          <w:cantSplit/>
          <w:trHeight w:val="1728"/>
        </w:trPr>
        <w:tc>
          <w:tcPr>
            <w:tcW w:w="3720" w:type="dxa"/>
            <w:vAlign w:val="center"/>
          </w:tcPr>
          <w:p w:rsidR="002374EA" w:rsidRPr="002374EA" w:rsidRDefault="002374EA" w:rsidP="002374EA">
            <w:pPr>
              <w:jc w:val="center"/>
              <w:rPr>
                <w:sz w:val="30"/>
                <w:szCs w:val="30"/>
              </w:rPr>
            </w:pPr>
            <w:r w:rsidRPr="002374EA">
              <w:rPr>
                <w:sz w:val="30"/>
                <w:szCs w:val="30"/>
              </w:rPr>
              <w:t>7% of regulated couples in Gottman’s research divorced during the four year period of the study.</w:t>
            </w:r>
          </w:p>
        </w:tc>
        <w:tc>
          <w:tcPr>
            <w:tcW w:w="3720" w:type="dxa"/>
            <w:vAlign w:val="center"/>
          </w:tcPr>
          <w:p w:rsidR="002374EA" w:rsidRPr="002374EA" w:rsidRDefault="002374EA" w:rsidP="002374EA">
            <w:pPr>
              <w:jc w:val="center"/>
              <w:rPr>
                <w:sz w:val="30"/>
                <w:szCs w:val="30"/>
              </w:rPr>
            </w:pPr>
            <w:r w:rsidRPr="002374EA">
              <w:rPr>
                <w:sz w:val="30"/>
                <w:szCs w:val="30"/>
              </w:rPr>
              <w:t>19% of non-regulated couples in Gottman’s study divorced during the four year period of the study.</w:t>
            </w:r>
          </w:p>
        </w:tc>
        <w:tc>
          <w:tcPr>
            <w:tcW w:w="3720" w:type="dxa"/>
            <w:vAlign w:val="center"/>
          </w:tcPr>
          <w:p w:rsidR="002374EA" w:rsidRPr="002374EA" w:rsidRDefault="002374EA" w:rsidP="002374EA">
            <w:pPr>
              <w:jc w:val="center"/>
              <w:rPr>
                <w:sz w:val="30"/>
                <w:szCs w:val="30"/>
              </w:rPr>
            </w:pPr>
            <w:r w:rsidRPr="002374EA">
              <w:rPr>
                <w:sz w:val="30"/>
                <w:szCs w:val="30"/>
              </w:rPr>
              <w:t>Stonewalling is a defence pattern that people (mostly males) use to reduce their physiological arousal and stress during emotional discussions.</w:t>
            </w:r>
          </w:p>
        </w:tc>
      </w:tr>
      <w:tr w:rsidR="002374EA" w:rsidRPr="002374EA" w:rsidTr="002374EA">
        <w:trPr>
          <w:cantSplit/>
          <w:trHeight w:val="1728"/>
        </w:trPr>
        <w:tc>
          <w:tcPr>
            <w:tcW w:w="3720" w:type="dxa"/>
            <w:vAlign w:val="center"/>
          </w:tcPr>
          <w:p w:rsidR="002374EA" w:rsidRPr="002374EA" w:rsidRDefault="002374EA" w:rsidP="002374EA">
            <w:pPr>
              <w:jc w:val="center"/>
              <w:rPr>
                <w:sz w:val="30"/>
                <w:szCs w:val="30"/>
              </w:rPr>
            </w:pPr>
            <w:r w:rsidRPr="002374EA">
              <w:rPr>
                <w:sz w:val="30"/>
                <w:szCs w:val="30"/>
              </w:rPr>
              <w:t>Non-regulated couples might be showing the demand/withdraw pattern.</w:t>
            </w:r>
          </w:p>
        </w:tc>
        <w:tc>
          <w:tcPr>
            <w:tcW w:w="3720" w:type="dxa"/>
            <w:vAlign w:val="center"/>
          </w:tcPr>
          <w:p w:rsidR="002374EA" w:rsidRPr="002374EA" w:rsidRDefault="002374EA" w:rsidP="002374EA">
            <w:pPr>
              <w:jc w:val="center"/>
              <w:rPr>
                <w:sz w:val="30"/>
                <w:szCs w:val="30"/>
              </w:rPr>
            </w:pPr>
            <w:r w:rsidRPr="002374EA">
              <w:rPr>
                <w:sz w:val="30"/>
                <w:szCs w:val="30"/>
              </w:rPr>
              <w:t>Stonewalling (or withdrawing) might increase the “demand” made by one partner (usually the wife).</w:t>
            </w:r>
          </w:p>
        </w:tc>
        <w:tc>
          <w:tcPr>
            <w:tcW w:w="3720" w:type="dxa"/>
            <w:vAlign w:val="center"/>
          </w:tcPr>
          <w:p w:rsidR="002374EA" w:rsidRPr="002374EA" w:rsidRDefault="002374EA" w:rsidP="002374EA">
            <w:pPr>
              <w:jc w:val="center"/>
              <w:rPr>
                <w:sz w:val="30"/>
                <w:szCs w:val="30"/>
              </w:rPr>
            </w:pPr>
            <w:r w:rsidRPr="002374EA">
              <w:rPr>
                <w:sz w:val="30"/>
                <w:szCs w:val="30"/>
              </w:rPr>
              <w:t>Being open to discuss an issue could bring couples closer and result in a higher ratio of positive to negative pieces of communication.</w:t>
            </w:r>
          </w:p>
        </w:tc>
      </w:tr>
    </w:tbl>
    <w:p w:rsidR="00BC3137" w:rsidRPr="00F87F25" w:rsidRDefault="00BC3137" w:rsidP="00C35541">
      <w:pPr>
        <w:rPr>
          <w:sz w:val="28"/>
        </w:rPr>
      </w:pPr>
    </w:p>
    <w:sectPr w:rsidR="00BC3137" w:rsidRPr="00F87F25" w:rsidSect="00C35541">
      <w:headerReference w:type="default" r:id="rId8"/>
      <w:footerReference w:type="default" r:id="rId9"/>
      <w:pgSz w:w="11906" w:h="16838"/>
      <w:pgMar w:top="207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975" w:rsidRDefault="00E93975" w:rsidP="00E42B2D">
      <w:pPr>
        <w:spacing w:after="0" w:line="240" w:lineRule="auto"/>
      </w:pPr>
      <w:r>
        <w:separator/>
      </w:r>
    </w:p>
  </w:endnote>
  <w:endnote w:type="continuationSeparator" w:id="0">
    <w:p w:rsidR="00E93975" w:rsidRDefault="00E93975" w:rsidP="00E42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5DC" w:rsidRDefault="00426F4A">
    <w:pPr>
      <w:pStyle w:val="Footer"/>
      <w:rPr>
        <w:lang w:val="en-US"/>
      </w:rPr>
    </w:pPr>
    <w:r w:rsidRPr="00426F4A">
      <w:rPr>
        <w:lang w:val="en-US"/>
      </w:rPr>
      <w:t xml:space="preserve">Visit our website </w:t>
    </w:r>
    <w:r>
      <w:rPr>
        <w:lang w:val="en-US"/>
      </w:rPr>
      <w:t>and</w:t>
    </w:r>
    <w:r w:rsidRPr="00426F4A">
      <w:rPr>
        <w:lang w:val="en-US"/>
      </w:rPr>
      <w:t xml:space="preserve"> subscribe to our blog, find free resources and to join our Facebook groups. </w:t>
    </w:r>
  </w:p>
  <w:p w:rsidR="00426F4A" w:rsidRPr="00426F4A" w:rsidRDefault="00E93975" w:rsidP="00426F4A">
    <w:pPr>
      <w:pStyle w:val="Footer"/>
      <w:jc w:val="center"/>
      <w:rPr>
        <w:lang w:val="en-US"/>
      </w:rPr>
    </w:pPr>
    <w:hyperlink r:id="rId1" w:history="1">
      <w:r w:rsidR="00426F4A" w:rsidRPr="00F94BCD">
        <w:rPr>
          <w:rStyle w:val="Hyperlink"/>
          <w:lang w:val="en-US"/>
        </w:rPr>
        <w:t>www.themantic-education.com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975" w:rsidRDefault="00E93975" w:rsidP="00E42B2D">
      <w:pPr>
        <w:spacing w:after="0" w:line="240" w:lineRule="auto"/>
      </w:pPr>
      <w:r>
        <w:separator/>
      </w:r>
    </w:p>
  </w:footnote>
  <w:footnote w:type="continuationSeparator" w:id="0">
    <w:p w:rsidR="00E93975" w:rsidRDefault="00E93975" w:rsidP="00E42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B2D" w:rsidRDefault="00426F4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1B436F" wp14:editId="64F6DE40">
              <wp:simplePos x="0" y="0"/>
              <wp:positionH relativeFrom="column">
                <wp:posOffset>217170</wp:posOffset>
              </wp:positionH>
              <wp:positionV relativeFrom="paragraph">
                <wp:posOffset>420493</wp:posOffset>
              </wp:positionV>
              <wp:extent cx="5513615" cy="261257"/>
              <wp:effectExtent l="0" t="0" r="11430" b="2476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3615" cy="26125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15DC" w:rsidRDefault="00E93975" w:rsidP="008054F5">
                          <w:pPr>
                            <w:jc w:val="center"/>
                            <w:rPr>
                              <w:lang w:val="en-US"/>
                            </w:rPr>
                          </w:pPr>
                          <w:hyperlink r:id="rId1" w:history="1">
                            <w:r w:rsidR="00FD15DC" w:rsidRPr="00C2185C">
                              <w:rPr>
                                <w:rStyle w:val="Hyperlink"/>
                                <w:lang w:val="en-US"/>
                              </w:rPr>
                              <w:t>www.themantic-education.com</w:t>
                            </w:r>
                          </w:hyperlink>
                        </w:p>
                        <w:p w:rsidR="00FD15DC" w:rsidRPr="00FD15DC" w:rsidRDefault="00FD15DC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1B43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.1pt;margin-top:33.1pt;width:434.15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" fillcolor="white [3201]" strokecolor="white [3212]" strokeweight=".5pt">
              <v:textbox>
                <w:txbxContent>
                  <w:p w:rsidR="00FD15DC" w:rsidRDefault="00341B3C" w:rsidP="008054F5">
                    <w:pPr>
                      <w:jc w:val="center"/>
                      <w:rPr>
                        <w:lang w:val="en-US"/>
                      </w:rPr>
                    </w:pPr>
                    <w:hyperlink r:id="rId2" w:history="1">
                      <w:r w:rsidR="00FD15DC" w:rsidRPr="00C2185C">
                        <w:rPr>
                          <w:rStyle w:val="Hyperlink"/>
                          <w:lang w:val="en-US"/>
                        </w:rPr>
                        <w:t>www.themantic-education.com</w:t>
                      </w:r>
                    </w:hyperlink>
                  </w:p>
                  <w:p w:rsidR="00FD15DC" w:rsidRPr="00FD15DC" w:rsidRDefault="00FD15DC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AF20E93" wp14:editId="13260D33">
          <wp:simplePos x="0" y="0"/>
          <wp:positionH relativeFrom="margin">
            <wp:align>center</wp:align>
          </wp:positionH>
          <wp:positionV relativeFrom="paragraph">
            <wp:posOffset>-68743</wp:posOffset>
          </wp:positionV>
          <wp:extent cx="3102610" cy="433705"/>
          <wp:effectExtent l="0" t="0" r="2540" b="4445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261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D5114E" wp14:editId="4A05A484">
              <wp:simplePos x="0" y="0"/>
              <wp:positionH relativeFrom="margin">
                <wp:align>left</wp:align>
              </wp:positionH>
              <wp:positionV relativeFrom="paragraph">
                <wp:posOffset>-399231</wp:posOffset>
              </wp:positionV>
              <wp:extent cx="5513615" cy="261257"/>
              <wp:effectExtent l="0" t="0" r="11430" b="2476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3615" cy="26125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6F4A" w:rsidRPr="00426F4A" w:rsidRDefault="00426F4A" w:rsidP="00426F4A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Activity resource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D5114E" id="Text Box 1" o:spid="_x0000_s1027" type="#_x0000_t202" style="position:absolute;margin-left:0;margin-top:-31.45pt;width:434.15pt;height:20.5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" fillcolor="white [3201]" strokecolor="white [3212]" strokeweight=".5pt">
              <v:textbox>
                <w:txbxContent>
                  <w:p w:rsidR="00426F4A" w:rsidRPr="00426F4A" w:rsidRDefault="00426F4A" w:rsidP="00426F4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Activity resource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CCC"/>
    <w:multiLevelType w:val="hybridMultilevel"/>
    <w:tmpl w:val="0944EE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B6177"/>
    <w:multiLevelType w:val="hybridMultilevel"/>
    <w:tmpl w:val="1346D1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76A02"/>
    <w:multiLevelType w:val="hybridMultilevel"/>
    <w:tmpl w:val="3E1653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63"/>
    <w:rsid w:val="00070195"/>
    <w:rsid w:val="00073463"/>
    <w:rsid w:val="00085DEA"/>
    <w:rsid w:val="001B5452"/>
    <w:rsid w:val="002374EA"/>
    <w:rsid w:val="00341B3C"/>
    <w:rsid w:val="00426F4A"/>
    <w:rsid w:val="004B723E"/>
    <w:rsid w:val="004C3F96"/>
    <w:rsid w:val="004C63B6"/>
    <w:rsid w:val="004D1C37"/>
    <w:rsid w:val="006404E9"/>
    <w:rsid w:val="006D56C5"/>
    <w:rsid w:val="007148E3"/>
    <w:rsid w:val="00717963"/>
    <w:rsid w:val="00752A88"/>
    <w:rsid w:val="008054F5"/>
    <w:rsid w:val="0093029A"/>
    <w:rsid w:val="00977614"/>
    <w:rsid w:val="00AC21FD"/>
    <w:rsid w:val="00B41C0B"/>
    <w:rsid w:val="00B640AE"/>
    <w:rsid w:val="00BC3137"/>
    <w:rsid w:val="00C1229D"/>
    <w:rsid w:val="00C35541"/>
    <w:rsid w:val="00C47E23"/>
    <w:rsid w:val="00E42B2D"/>
    <w:rsid w:val="00E93975"/>
    <w:rsid w:val="00F87F25"/>
    <w:rsid w:val="00FD15DC"/>
    <w:rsid w:val="00FE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3259DA-9EB2-4C03-A4CC-9391E040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31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4E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B2D"/>
  </w:style>
  <w:style w:type="paragraph" w:styleId="Footer">
    <w:name w:val="footer"/>
    <w:basedOn w:val="Normal"/>
    <w:link w:val="FooterChar"/>
    <w:uiPriority w:val="99"/>
    <w:unhideWhenUsed/>
    <w:rsid w:val="00E42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B2D"/>
  </w:style>
  <w:style w:type="table" w:styleId="TableGrid">
    <w:name w:val="Table Grid"/>
    <w:basedOn w:val="TableNormal"/>
    <w:uiPriority w:val="39"/>
    <w:rsid w:val="007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5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54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374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bpsych.themantic-education.com/2017/08/28/lesson-idea-murder-mystery-who-killed-the-marria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mantic-education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themantic-education.com" TargetMode="External"/><Relationship Id="rId1" Type="http://schemas.openxmlformats.org/officeDocument/2006/relationships/hyperlink" Target="http://www.themantic-educ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Dixon</dc:creator>
  <cp:keywords/>
  <dc:description/>
  <cp:lastModifiedBy>Travis Dixon</cp:lastModifiedBy>
  <cp:revision>18</cp:revision>
  <cp:lastPrinted>2017-09-18T22:59:00Z</cp:lastPrinted>
  <dcterms:created xsi:type="dcterms:W3CDTF">2017-05-19T03:13:00Z</dcterms:created>
  <dcterms:modified xsi:type="dcterms:W3CDTF">2017-11-13T21:41:00Z</dcterms:modified>
</cp:coreProperties>
</file>